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09D9" w14:textId="0D98FE9D" w:rsidR="00AB1BCB" w:rsidRPr="00927871" w:rsidRDefault="2149E81D" w:rsidP="542D5E14">
      <w:pPr>
        <w:rPr>
          <w:b/>
          <w:bCs/>
          <w:sz w:val="28"/>
          <w:szCs w:val="28"/>
        </w:rPr>
      </w:pPr>
      <w:r w:rsidRPr="00927871">
        <w:rPr>
          <w:b/>
          <w:bCs/>
          <w:sz w:val="28"/>
          <w:szCs w:val="28"/>
        </w:rPr>
        <w:t xml:space="preserve">Higher Degree by Research Scholarship: </w:t>
      </w:r>
      <w:r w:rsidR="00470ED5" w:rsidRPr="00927871">
        <w:rPr>
          <w:b/>
          <w:bCs/>
          <w:sz w:val="28"/>
          <w:szCs w:val="28"/>
        </w:rPr>
        <w:t xml:space="preserve"> Disasters and Young People</w:t>
      </w:r>
    </w:p>
    <w:p w14:paraId="5DAB6C7B" w14:textId="75D8B19A" w:rsidR="00F75DB9" w:rsidRDefault="00470ED5" w:rsidP="00470ED5">
      <w:pPr>
        <w:pStyle w:val="ListParagraph"/>
        <w:numPr>
          <w:ilvl w:val="0"/>
          <w:numId w:val="12"/>
        </w:numPr>
      </w:pPr>
      <w:r w:rsidRPr="00470ED5">
        <w:t>Contribute to emerging knowledge of young people’s contribution and capacity in disasters</w:t>
      </w:r>
    </w:p>
    <w:p w14:paraId="0C92CA1D" w14:textId="77777777" w:rsidR="00470ED5" w:rsidRDefault="00470ED5" w:rsidP="00470ED5">
      <w:pPr>
        <w:pStyle w:val="ListParagraph"/>
        <w:numPr>
          <w:ilvl w:val="0"/>
          <w:numId w:val="12"/>
        </w:numPr>
      </w:pPr>
      <w:r w:rsidRPr="00470ED5">
        <w:t>Contribute to innovative research in a Centre of Excellence</w:t>
      </w:r>
    </w:p>
    <w:p w14:paraId="587C8DC4" w14:textId="36378FC2" w:rsidR="00470ED5" w:rsidRDefault="00470ED5" w:rsidP="00470ED5">
      <w:pPr>
        <w:pStyle w:val="ListParagraph"/>
        <w:numPr>
          <w:ilvl w:val="0"/>
          <w:numId w:val="12"/>
        </w:numPr>
      </w:pPr>
      <w:r w:rsidRPr="00470ED5">
        <w:t>Create networks and research alongside like-minded colleagues in academia and practitioner environments.</w:t>
      </w:r>
    </w:p>
    <w:p w14:paraId="1DEFC60C" w14:textId="609EB673" w:rsidR="001542D8" w:rsidRPr="001542D8" w:rsidRDefault="001542D8" w:rsidP="001542D8">
      <w:pPr>
        <w:rPr>
          <w:rFonts w:cstheme="minorHAnsi"/>
          <w:lang w:val="en-US"/>
        </w:rPr>
      </w:pPr>
      <w:r w:rsidRPr="001542D8">
        <w:rPr>
          <w:rFonts w:cstheme="minorHAnsi"/>
          <w:lang w:val="en-US"/>
        </w:rPr>
        <w:t xml:space="preserve">$35,006 per annum stipend (full-time) </w:t>
      </w:r>
    </w:p>
    <w:p w14:paraId="72226159" w14:textId="77777777" w:rsidR="00F75DB9" w:rsidRPr="00F75DB9" w:rsidRDefault="00F75DB9">
      <w:pPr>
        <w:rPr>
          <w:b/>
        </w:rPr>
      </w:pPr>
      <w:r w:rsidRPr="00F75DB9">
        <w:rPr>
          <w:b/>
        </w:rPr>
        <w:t>About the Project</w:t>
      </w:r>
    </w:p>
    <w:p w14:paraId="007F51CA" w14:textId="77777777" w:rsidR="00470ED5" w:rsidRDefault="00470ED5" w:rsidP="00470ED5">
      <w:r>
        <w:t xml:space="preserve">The PhD research project will contribute to the work of the Centre of Excellence: young people and disasters. </w:t>
      </w:r>
    </w:p>
    <w:p w14:paraId="2F715C45" w14:textId="77777777" w:rsidR="00470ED5" w:rsidRDefault="00470ED5" w:rsidP="00470ED5">
      <w:r>
        <w:t xml:space="preserve">The Centre is a partnership between Youth Affairs Council Victoria and Victoria University’s Youth and Community Research Group and champions the inclusion and active involvement of young people to contribute to all aspects of disaster response. The Centre takes a strengths-based approach and utilises evidence to inform and improve engagement with young people and their communities in policy responses. </w:t>
      </w:r>
    </w:p>
    <w:p w14:paraId="2AED8B26" w14:textId="77777777" w:rsidR="00470ED5" w:rsidRDefault="00470ED5" w:rsidP="00470ED5">
      <w:r>
        <w:t xml:space="preserve">The PhD research project will be supervised by the Centre’s lead researchers, Associate Professor Fiona MacDonald and Professor Tim Corney, using qualitative or mixed-methods, critical research approaches to investigate young people’s involvement in disaster response. </w:t>
      </w:r>
    </w:p>
    <w:p w14:paraId="523A4EB0" w14:textId="32754F3B" w:rsidR="00470ED5" w:rsidRDefault="00470ED5" w:rsidP="00470ED5">
      <w:r>
        <w:t xml:space="preserve">The research focus is young people (e.g. 12-24 years) and </w:t>
      </w:r>
      <w:r w:rsidR="00725D34">
        <w:t>d</w:t>
      </w:r>
      <w:r>
        <w:t>isasters in an Australian context</w:t>
      </w:r>
      <w:r w:rsidR="00725D34">
        <w:t xml:space="preserve">. The research </w:t>
      </w:r>
      <w:r>
        <w:t>can focus on targeted aspects in this field of research (e.g. young people’s involvement in climate change mitigation, bushfire or flood recovery etc).</w:t>
      </w:r>
    </w:p>
    <w:p w14:paraId="39DA11B2" w14:textId="65D9D4BF" w:rsidR="00F53646" w:rsidRDefault="00F53646" w:rsidP="00F53646">
      <w:r>
        <w:t xml:space="preserve">The successful applicant will need to meet the </w:t>
      </w:r>
      <w:r w:rsidRPr="00470ED5">
        <w:t>entrance requirements for a PhD</w:t>
      </w:r>
      <w:r>
        <w:t xml:space="preserve"> </w:t>
      </w:r>
      <w:r w:rsidR="00470ED5">
        <w:t xml:space="preserve">or </w:t>
      </w:r>
      <w:proofErr w:type="gramStart"/>
      <w:r w:rsidR="00470ED5">
        <w:t>Masters</w:t>
      </w:r>
      <w:proofErr w:type="gramEnd"/>
      <w:r w:rsidR="00470ED5">
        <w:t xml:space="preserve"> by Research degree </w:t>
      </w:r>
      <w:r>
        <w:t>at Victoria University.</w:t>
      </w:r>
    </w:p>
    <w:p w14:paraId="446CA5D0" w14:textId="3C7391FA" w:rsidR="00470964" w:rsidRDefault="00F75DB9" w:rsidP="00470ED5">
      <w:pPr>
        <w:rPr>
          <w:b/>
        </w:rPr>
      </w:pPr>
      <w:r w:rsidRPr="00F53646">
        <w:rPr>
          <w:b/>
        </w:rPr>
        <w:t>Required Disciplinary Knowledge</w:t>
      </w:r>
    </w:p>
    <w:p w14:paraId="38B3FD10" w14:textId="0738391B" w:rsidR="00470ED5" w:rsidRDefault="00470ED5" w:rsidP="00470ED5">
      <w:r w:rsidRPr="00470ED5">
        <w:t xml:space="preserve">Applicants will require an Honours degree or </w:t>
      </w:r>
      <w:proofErr w:type="spellStart"/>
      <w:proofErr w:type="gramStart"/>
      <w:r w:rsidRPr="00470ED5">
        <w:t>Masters</w:t>
      </w:r>
      <w:proofErr w:type="spellEnd"/>
      <w:proofErr w:type="gramEnd"/>
      <w:r w:rsidRPr="00470ED5">
        <w:t xml:space="preserve"> degree (by research thesis) with Second Class Honours/Distinction grade average or above in a cognate discipline e.g. Social Sciences (particularly Sociology of youth, Sociology of change); Education (particularly adult or community pedagogy); Professional youth work or community development work; Human Rights (particularly child and youth rights, UNCRC).</w:t>
      </w:r>
    </w:p>
    <w:p w14:paraId="12F36CB9" w14:textId="5CDABFB3" w:rsidR="00470ED5" w:rsidRPr="00470ED5" w:rsidRDefault="00470ED5" w:rsidP="00470ED5">
      <w:pPr>
        <w:rPr>
          <w:b/>
        </w:rPr>
      </w:pPr>
      <w:r w:rsidRPr="00470ED5">
        <w:rPr>
          <w:b/>
        </w:rPr>
        <w:t>Required Special Conditions</w:t>
      </w:r>
    </w:p>
    <w:p w14:paraId="4EF918C8" w14:textId="5590834D" w:rsidR="00470ED5" w:rsidRDefault="00470ED5" w:rsidP="00470ED5">
      <w:r>
        <w:t>Successful applicants will require the following before commencing the project or scholarship:</w:t>
      </w:r>
    </w:p>
    <w:p w14:paraId="119ECFF4" w14:textId="4BFE0968" w:rsidR="00470ED5" w:rsidRDefault="00470ED5" w:rsidP="00470ED5">
      <w:pPr>
        <w:pStyle w:val="ListParagraph"/>
        <w:numPr>
          <w:ilvl w:val="0"/>
          <w:numId w:val="11"/>
        </w:numPr>
      </w:pPr>
      <w:r>
        <w:t>Working with Children Check</w:t>
      </w:r>
    </w:p>
    <w:p w14:paraId="6BBBBE0F" w14:textId="2409F9EA" w:rsidR="00470ED5" w:rsidRDefault="00470ED5" w:rsidP="00470ED5">
      <w:pPr>
        <w:pStyle w:val="ListParagraph"/>
        <w:numPr>
          <w:ilvl w:val="0"/>
          <w:numId w:val="11"/>
        </w:numPr>
      </w:pPr>
      <w:r>
        <w:t>Police Check</w:t>
      </w:r>
    </w:p>
    <w:p w14:paraId="2DC550CA" w14:textId="2E726EFD" w:rsidR="00470ED5" w:rsidRDefault="00470ED5" w:rsidP="00470ED5">
      <w:pPr>
        <w:pStyle w:val="ListParagraph"/>
        <w:numPr>
          <w:ilvl w:val="0"/>
          <w:numId w:val="11"/>
        </w:numPr>
      </w:pPr>
      <w:r>
        <w:t>Assignment of Intellectual Property to the University (excluding copyright in the thesis)</w:t>
      </w:r>
    </w:p>
    <w:p w14:paraId="4FD4F6F4" w14:textId="77777777" w:rsidR="00725D34" w:rsidRDefault="00725D34" w:rsidP="00725D34"/>
    <w:p w14:paraId="5AD52C04" w14:textId="77777777" w:rsidR="00927871" w:rsidRDefault="00927871" w:rsidP="00725D34"/>
    <w:p w14:paraId="769D4E42" w14:textId="77777777" w:rsidR="00927871" w:rsidRDefault="00927871" w:rsidP="00725D34"/>
    <w:p w14:paraId="61856794" w14:textId="77777777" w:rsidR="00725D34" w:rsidRPr="00470ED5" w:rsidRDefault="00725D34" w:rsidP="00725D34"/>
    <w:p w14:paraId="6CC25542" w14:textId="77777777" w:rsidR="00F53646" w:rsidRPr="000C32C3" w:rsidRDefault="000C32C3">
      <w:pPr>
        <w:rPr>
          <w:b/>
        </w:rPr>
      </w:pPr>
      <w:r w:rsidRPr="000C32C3">
        <w:rPr>
          <w:b/>
        </w:rPr>
        <w:lastRenderedPageBreak/>
        <w:t>Funding</w:t>
      </w:r>
    </w:p>
    <w:p w14:paraId="116B6ADE" w14:textId="27ED0A99" w:rsidR="00AF67C9" w:rsidRPr="00FA3DB5" w:rsidRDefault="00AF67C9" w:rsidP="00AF67C9">
      <w:pPr>
        <w:rPr>
          <w:rFonts w:cstheme="minorHAnsi"/>
          <w:color w:val="1C1C1C"/>
        </w:rPr>
      </w:pPr>
      <w:r w:rsidRPr="00FA3DB5">
        <w:rPr>
          <w:rFonts w:cstheme="minorHAnsi"/>
          <w:color w:val="1C1C1C"/>
        </w:rPr>
        <w:t>Successful applicants will be supported by a tax-exempt stipend scholarship ($</w:t>
      </w:r>
      <w:r w:rsidR="001406C1">
        <w:rPr>
          <w:rFonts w:cstheme="minorHAnsi"/>
          <w:color w:val="1C1C1C"/>
        </w:rPr>
        <w:t>3</w:t>
      </w:r>
      <w:r w:rsidR="00D0382C">
        <w:rPr>
          <w:rFonts w:cstheme="minorHAnsi"/>
          <w:color w:val="1C1C1C"/>
        </w:rPr>
        <w:t>5</w:t>
      </w:r>
      <w:r w:rsidR="001406C1">
        <w:rPr>
          <w:rFonts w:cstheme="minorHAnsi"/>
          <w:color w:val="1C1C1C"/>
        </w:rPr>
        <w:t>,</w:t>
      </w:r>
      <w:r w:rsidR="00D0382C">
        <w:rPr>
          <w:rFonts w:cstheme="minorHAnsi"/>
          <w:color w:val="1C1C1C"/>
        </w:rPr>
        <w:t>006</w:t>
      </w:r>
      <w:r w:rsidRPr="00FA3DB5">
        <w:rPr>
          <w:rFonts w:cstheme="minorHAnsi"/>
          <w:color w:val="1C1C1C"/>
        </w:rPr>
        <w:t xml:space="preserve"> p.a</w:t>
      </w:r>
      <w:r>
        <w:rPr>
          <w:rFonts w:cstheme="minorHAnsi"/>
          <w:color w:val="1C1C1C"/>
        </w:rPr>
        <w:t>.</w:t>
      </w:r>
      <w:r w:rsidR="00911C5F">
        <w:rPr>
          <w:rFonts w:cstheme="minorHAnsi"/>
          <w:color w:val="1C1C1C"/>
        </w:rPr>
        <w:t xml:space="preserve"> indexed annually</w:t>
      </w:r>
      <w:r w:rsidR="00A31296">
        <w:rPr>
          <w:rFonts w:cstheme="minorHAnsi"/>
          <w:color w:val="1C1C1C"/>
        </w:rPr>
        <w:t>,</w:t>
      </w:r>
      <w:r w:rsidRPr="00FA3DB5">
        <w:rPr>
          <w:rFonts w:cstheme="minorHAnsi"/>
          <w:color w:val="1C1C1C"/>
        </w:rPr>
        <w:t xml:space="preserve"> full-time study rate) and a tuition fee offset. </w:t>
      </w:r>
      <w:r>
        <w:rPr>
          <w:rFonts w:cstheme="minorHAnsi"/>
          <w:color w:val="1C1C1C"/>
        </w:rPr>
        <w:t xml:space="preserve"> All applicants who are made an offer and accept must present in Melbourne b</w:t>
      </w:r>
      <w:r w:rsidR="00470ED5">
        <w:rPr>
          <w:rFonts w:cstheme="minorHAnsi"/>
          <w:color w:val="1C1C1C"/>
        </w:rPr>
        <w:t>y the stipulated enrolment date</w:t>
      </w:r>
      <w:r w:rsidR="00F31EE5">
        <w:rPr>
          <w:rFonts w:cstheme="minorHAnsi"/>
          <w:color w:val="1C1C1C"/>
        </w:rPr>
        <w:t xml:space="preserve">, to be confirmed. </w:t>
      </w:r>
      <w:r w:rsidR="00470ED5">
        <w:rPr>
          <w:rFonts w:cstheme="minorHAnsi"/>
          <w:color w:val="1C1C1C"/>
        </w:rPr>
        <w:t xml:space="preserve"> </w:t>
      </w:r>
    </w:p>
    <w:p w14:paraId="06C5761F" w14:textId="6C319175" w:rsidR="00AF67C9" w:rsidRDefault="00AF67C9">
      <w:pPr>
        <w:rPr>
          <w:rFonts w:cstheme="minorHAnsi"/>
        </w:rPr>
      </w:pPr>
      <w:r w:rsidRPr="00AF67C9">
        <w:rPr>
          <w:rFonts w:cstheme="minorHAnsi"/>
        </w:rPr>
        <w:t>This opportunity is offered to Domestic (Australian citizens, or for those who have been granted permanent resident status, including New Zealand citizens who are granted permanent resi</w:t>
      </w:r>
      <w:r>
        <w:rPr>
          <w:rFonts w:cstheme="minorHAnsi"/>
        </w:rPr>
        <w:t xml:space="preserve">dency status on arrival) and </w:t>
      </w:r>
      <w:proofErr w:type="gramStart"/>
      <w:r>
        <w:rPr>
          <w:rFonts w:cstheme="minorHAnsi"/>
        </w:rPr>
        <w:t>International</w:t>
      </w:r>
      <w:proofErr w:type="gramEnd"/>
      <w:r>
        <w:rPr>
          <w:rFonts w:cstheme="minorHAnsi"/>
        </w:rPr>
        <w:t xml:space="preserve"> students.</w:t>
      </w:r>
    </w:p>
    <w:p w14:paraId="44A63688" w14:textId="2EFBBEAE" w:rsidR="00306319" w:rsidRPr="00AF67C9" w:rsidRDefault="00306319">
      <w:pPr>
        <w:rPr>
          <w:rFonts w:cstheme="minorHAnsi"/>
        </w:rPr>
      </w:pPr>
      <w:r>
        <w:rPr>
          <w:rFonts w:cstheme="minorHAnsi"/>
        </w:rPr>
        <w:t>This opportunity is offered for commencement i</w:t>
      </w:r>
      <w:r w:rsidR="00470ED5">
        <w:rPr>
          <w:rFonts w:cstheme="minorHAnsi"/>
        </w:rPr>
        <w:t xml:space="preserve">n Research Period </w:t>
      </w:r>
      <w:r w:rsidR="00725D34">
        <w:rPr>
          <w:rFonts w:cstheme="minorHAnsi"/>
        </w:rPr>
        <w:t>2</w:t>
      </w:r>
      <w:r w:rsidR="00470ED5">
        <w:rPr>
          <w:rFonts w:cstheme="minorHAnsi"/>
        </w:rPr>
        <w:t xml:space="preserve"> 2025. </w:t>
      </w:r>
    </w:p>
    <w:p w14:paraId="72A3D3EC" w14:textId="77777777" w:rsidR="000C32C3" w:rsidRDefault="000C32C3"/>
    <w:p w14:paraId="2585A092" w14:textId="77777777" w:rsidR="00F75DB9" w:rsidRPr="00FA3DB5" w:rsidRDefault="00F75DB9" w:rsidP="00F75DB9">
      <w:pPr>
        <w:spacing w:after="0"/>
        <w:rPr>
          <w:rFonts w:cstheme="minorHAnsi"/>
          <w:b/>
          <w:lang w:val="en-US"/>
        </w:rPr>
      </w:pPr>
      <w:r w:rsidRPr="00FA3DB5">
        <w:rPr>
          <w:rFonts w:cstheme="minorHAnsi"/>
          <w:b/>
          <w:lang w:val="en-US"/>
        </w:rPr>
        <w:t>How to apply</w:t>
      </w:r>
    </w:p>
    <w:p w14:paraId="307EF4D5" w14:textId="11CB916B" w:rsidR="00911C5F" w:rsidRDefault="00911C5F" w:rsidP="000C32C3">
      <w:r>
        <w:t>All applicants must contact the Principal Supervisor and receive in-</w:t>
      </w:r>
      <w:proofErr w:type="gramStart"/>
      <w:r>
        <w:t>principle</w:t>
      </w:r>
      <w:proofErr w:type="gramEnd"/>
      <w:r>
        <w:t xml:space="preserve"> approval to submit an application. Please contact </w:t>
      </w:r>
      <w:hyperlink r:id="rId7" w:history="1">
        <w:r w:rsidRPr="007B2357">
          <w:rPr>
            <w:rStyle w:val="Hyperlink"/>
          </w:rPr>
          <w:t>Fiona.Macdonald@vu.edu.au</w:t>
        </w:r>
      </w:hyperlink>
      <w:r>
        <w:t xml:space="preserve"> to discuss your interest. </w:t>
      </w:r>
    </w:p>
    <w:p w14:paraId="4B36164D" w14:textId="5CEA8111" w:rsidR="00863E44" w:rsidRDefault="00911C5F" w:rsidP="000C32C3">
      <w:r>
        <w:t xml:space="preserve">Please refer to the </w:t>
      </w:r>
      <w:hyperlink r:id="rId8" w:history="1">
        <w:r w:rsidR="00725D34" w:rsidRPr="006F16EE">
          <w:rPr>
            <w:rStyle w:val="Hyperlink"/>
          </w:rPr>
          <w:t>https://www.vu.edu.au/study-at-vu/apply-to-vu/apply-for-graduate-research</w:t>
        </w:r>
      </w:hyperlink>
      <w:r w:rsidR="00725D34">
        <w:t xml:space="preserve"> </w:t>
      </w:r>
      <w:r>
        <w:t>for instructions on how to submit your application</w:t>
      </w:r>
      <w:r w:rsidR="00725D34">
        <w:t xml:space="preserve"> and relevant commencement and coursework dates</w:t>
      </w:r>
      <w:r>
        <w:t xml:space="preserve">. </w:t>
      </w:r>
    </w:p>
    <w:p w14:paraId="7DB3C55C" w14:textId="67B490CE" w:rsidR="00911C5F" w:rsidRDefault="00911C5F" w:rsidP="000C32C3">
      <w:r>
        <w:t>International</w:t>
      </w:r>
      <w:r w:rsidR="00C20C0E">
        <w:t xml:space="preserve"> applications close</w:t>
      </w:r>
      <w:r>
        <w:t>: 1</w:t>
      </w:r>
      <w:r w:rsidR="00725D34">
        <w:t>1</w:t>
      </w:r>
      <w:r w:rsidR="00725D34" w:rsidRPr="00725D34">
        <w:rPr>
          <w:vertAlign w:val="superscript"/>
        </w:rPr>
        <w:t>th</w:t>
      </w:r>
      <w:r w:rsidR="00725D34">
        <w:t xml:space="preserve"> May</w:t>
      </w:r>
      <w:r>
        <w:t xml:space="preserve"> 202</w:t>
      </w:r>
      <w:r w:rsidR="00725D34">
        <w:t>5</w:t>
      </w:r>
    </w:p>
    <w:p w14:paraId="6DC6F089" w14:textId="5D596A3B" w:rsidR="00911C5F" w:rsidRDefault="00911C5F" w:rsidP="000C32C3">
      <w:r>
        <w:t>Domestic</w:t>
      </w:r>
      <w:r w:rsidR="00C20C0E">
        <w:t xml:space="preserve"> applications close</w:t>
      </w:r>
      <w:r>
        <w:t xml:space="preserve">: </w:t>
      </w:r>
      <w:r w:rsidR="00725D34">
        <w:t>11</w:t>
      </w:r>
      <w:r w:rsidR="00725D34" w:rsidRPr="00725D34">
        <w:rPr>
          <w:vertAlign w:val="superscript"/>
        </w:rPr>
        <w:t>th</w:t>
      </w:r>
      <w:r w:rsidR="00725D34">
        <w:t xml:space="preserve"> May</w:t>
      </w:r>
      <w:r>
        <w:t xml:space="preserve"> 202</w:t>
      </w:r>
      <w:r w:rsidR="00725D34">
        <w:t>5</w:t>
      </w:r>
      <w:r w:rsidR="00F31EE5">
        <w:t xml:space="preserve">. </w:t>
      </w:r>
      <w:r w:rsidR="00725D34">
        <w:t xml:space="preserve"> </w:t>
      </w:r>
    </w:p>
    <w:p w14:paraId="0E27B00A" w14:textId="6F46AF3B" w:rsidR="000C32C3" w:rsidRPr="007F1355" w:rsidRDefault="000C32C3">
      <w:pPr>
        <w:rPr>
          <w:rFonts w:cstheme="minorHAnsi"/>
          <w:lang w:val="en-US"/>
        </w:rPr>
      </w:pPr>
    </w:p>
    <w:sectPr w:rsidR="000C32C3" w:rsidRPr="007F13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B818" w14:textId="77777777" w:rsidR="0021474E" w:rsidRDefault="0021474E" w:rsidP="00265127">
      <w:pPr>
        <w:spacing w:after="0" w:line="240" w:lineRule="auto"/>
      </w:pPr>
      <w:r>
        <w:separator/>
      </w:r>
    </w:p>
  </w:endnote>
  <w:endnote w:type="continuationSeparator" w:id="0">
    <w:p w14:paraId="10E3DA11" w14:textId="77777777" w:rsidR="0021474E" w:rsidRDefault="0021474E" w:rsidP="0026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1AB2" w14:textId="77777777" w:rsidR="0021474E" w:rsidRDefault="0021474E" w:rsidP="00265127">
      <w:pPr>
        <w:spacing w:after="0" w:line="240" w:lineRule="auto"/>
      </w:pPr>
      <w:r>
        <w:separator/>
      </w:r>
    </w:p>
  </w:footnote>
  <w:footnote w:type="continuationSeparator" w:id="0">
    <w:p w14:paraId="055243C5" w14:textId="77777777" w:rsidR="0021474E" w:rsidRDefault="0021474E" w:rsidP="00265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33"/>
    <w:multiLevelType w:val="hybridMultilevel"/>
    <w:tmpl w:val="886A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43B68"/>
    <w:multiLevelType w:val="multilevel"/>
    <w:tmpl w:val="AB7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50A4A"/>
    <w:multiLevelType w:val="hybridMultilevel"/>
    <w:tmpl w:val="F6B2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F1FAC"/>
    <w:multiLevelType w:val="hybridMultilevel"/>
    <w:tmpl w:val="8928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385433"/>
    <w:multiLevelType w:val="hybridMultilevel"/>
    <w:tmpl w:val="3E9E8F68"/>
    <w:lvl w:ilvl="0" w:tplc="0B6ED662">
      <w:start w:val="1"/>
      <w:numFmt w:val="bullet"/>
      <w:lvlText w:val=""/>
      <w:lvlJc w:val="left"/>
      <w:pPr>
        <w:ind w:left="720" w:hanging="360"/>
      </w:pPr>
      <w:rPr>
        <w:rFonts w:ascii="Symbol" w:hAnsi="Symbol" w:hint="default"/>
      </w:rPr>
    </w:lvl>
    <w:lvl w:ilvl="1" w:tplc="27BEFBB6">
      <w:start w:val="1"/>
      <w:numFmt w:val="bullet"/>
      <w:lvlText w:val="o"/>
      <w:lvlJc w:val="left"/>
      <w:pPr>
        <w:ind w:left="1440" w:hanging="360"/>
      </w:pPr>
      <w:rPr>
        <w:rFonts w:ascii="Courier New" w:hAnsi="Courier New" w:hint="default"/>
      </w:rPr>
    </w:lvl>
    <w:lvl w:ilvl="2" w:tplc="3620E764">
      <w:start w:val="1"/>
      <w:numFmt w:val="bullet"/>
      <w:lvlText w:val=""/>
      <w:lvlJc w:val="left"/>
      <w:pPr>
        <w:ind w:left="2160" w:hanging="360"/>
      </w:pPr>
      <w:rPr>
        <w:rFonts w:ascii="Wingdings" w:hAnsi="Wingdings" w:hint="default"/>
      </w:rPr>
    </w:lvl>
    <w:lvl w:ilvl="3" w:tplc="64BE25EC">
      <w:start w:val="1"/>
      <w:numFmt w:val="bullet"/>
      <w:lvlText w:val=""/>
      <w:lvlJc w:val="left"/>
      <w:pPr>
        <w:ind w:left="2880" w:hanging="360"/>
      </w:pPr>
      <w:rPr>
        <w:rFonts w:ascii="Symbol" w:hAnsi="Symbol" w:hint="default"/>
      </w:rPr>
    </w:lvl>
    <w:lvl w:ilvl="4" w:tplc="30989726">
      <w:start w:val="1"/>
      <w:numFmt w:val="bullet"/>
      <w:lvlText w:val="o"/>
      <w:lvlJc w:val="left"/>
      <w:pPr>
        <w:ind w:left="3600" w:hanging="360"/>
      </w:pPr>
      <w:rPr>
        <w:rFonts w:ascii="Courier New" w:hAnsi="Courier New" w:hint="default"/>
      </w:rPr>
    </w:lvl>
    <w:lvl w:ilvl="5" w:tplc="35C2A09C">
      <w:start w:val="1"/>
      <w:numFmt w:val="bullet"/>
      <w:lvlText w:val=""/>
      <w:lvlJc w:val="left"/>
      <w:pPr>
        <w:ind w:left="4320" w:hanging="360"/>
      </w:pPr>
      <w:rPr>
        <w:rFonts w:ascii="Wingdings" w:hAnsi="Wingdings" w:hint="default"/>
      </w:rPr>
    </w:lvl>
    <w:lvl w:ilvl="6" w:tplc="0C2080E8">
      <w:start w:val="1"/>
      <w:numFmt w:val="bullet"/>
      <w:lvlText w:val=""/>
      <w:lvlJc w:val="left"/>
      <w:pPr>
        <w:ind w:left="5040" w:hanging="360"/>
      </w:pPr>
      <w:rPr>
        <w:rFonts w:ascii="Symbol" w:hAnsi="Symbol" w:hint="default"/>
      </w:rPr>
    </w:lvl>
    <w:lvl w:ilvl="7" w:tplc="C3123824">
      <w:start w:val="1"/>
      <w:numFmt w:val="bullet"/>
      <w:lvlText w:val="o"/>
      <w:lvlJc w:val="left"/>
      <w:pPr>
        <w:ind w:left="5760" w:hanging="360"/>
      </w:pPr>
      <w:rPr>
        <w:rFonts w:ascii="Courier New" w:hAnsi="Courier New" w:hint="default"/>
      </w:rPr>
    </w:lvl>
    <w:lvl w:ilvl="8" w:tplc="227E88A4">
      <w:start w:val="1"/>
      <w:numFmt w:val="bullet"/>
      <w:lvlText w:val=""/>
      <w:lvlJc w:val="left"/>
      <w:pPr>
        <w:ind w:left="6480" w:hanging="360"/>
      </w:pPr>
      <w:rPr>
        <w:rFonts w:ascii="Wingdings" w:hAnsi="Wingdings" w:hint="default"/>
      </w:rPr>
    </w:lvl>
  </w:abstractNum>
  <w:abstractNum w:abstractNumId="5" w15:restartNumberingAfterBreak="0">
    <w:nsid w:val="43CB01D7"/>
    <w:multiLevelType w:val="hybridMultilevel"/>
    <w:tmpl w:val="AAAAC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B24878"/>
    <w:multiLevelType w:val="hybridMultilevel"/>
    <w:tmpl w:val="D742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596034"/>
    <w:multiLevelType w:val="hybridMultilevel"/>
    <w:tmpl w:val="D570E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C65263"/>
    <w:multiLevelType w:val="hybridMultilevel"/>
    <w:tmpl w:val="A8F6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AD7DF9"/>
    <w:multiLevelType w:val="hybridMultilevel"/>
    <w:tmpl w:val="3D94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5F6E9B"/>
    <w:multiLevelType w:val="hybridMultilevel"/>
    <w:tmpl w:val="13D2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51711E"/>
    <w:multiLevelType w:val="hybridMultilevel"/>
    <w:tmpl w:val="AA7C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099240">
    <w:abstractNumId w:val="4"/>
  </w:num>
  <w:num w:numId="2" w16cid:durableId="114061074">
    <w:abstractNumId w:val="0"/>
  </w:num>
  <w:num w:numId="3" w16cid:durableId="1415318668">
    <w:abstractNumId w:val="7"/>
  </w:num>
  <w:num w:numId="4" w16cid:durableId="1595743314">
    <w:abstractNumId w:val="5"/>
  </w:num>
  <w:num w:numId="5" w16cid:durableId="1185440447">
    <w:abstractNumId w:val="6"/>
  </w:num>
  <w:num w:numId="6" w16cid:durableId="2118475545">
    <w:abstractNumId w:val="1"/>
  </w:num>
  <w:num w:numId="7" w16cid:durableId="1859737176">
    <w:abstractNumId w:val="3"/>
  </w:num>
  <w:num w:numId="8" w16cid:durableId="516701635">
    <w:abstractNumId w:val="8"/>
  </w:num>
  <w:num w:numId="9" w16cid:durableId="301348910">
    <w:abstractNumId w:val="9"/>
  </w:num>
  <w:num w:numId="10" w16cid:durableId="656037559">
    <w:abstractNumId w:val="11"/>
  </w:num>
  <w:num w:numId="11" w16cid:durableId="2006007168">
    <w:abstractNumId w:val="2"/>
  </w:num>
  <w:num w:numId="12" w16cid:durableId="2035954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CB"/>
    <w:rsid w:val="00073B58"/>
    <w:rsid w:val="000C32C3"/>
    <w:rsid w:val="001406C1"/>
    <w:rsid w:val="001542D8"/>
    <w:rsid w:val="001E6573"/>
    <w:rsid w:val="0021474E"/>
    <w:rsid w:val="00265127"/>
    <w:rsid w:val="00292E83"/>
    <w:rsid w:val="00306319"/>
    <w:rsid w:val="004127AB"/>
    <w:rsid w:val="00420ED8"/>
    <w:rsid w:val="00470964"/>
    <w:rsid w:val="00470ED5"/>
    <w:rsid w:val="00534AAB"/>
    <w:rsid w:val="005E2A9F"/>
    <w:rsid w:val="006A61A1"/>
    <w:rsid w:val="006D0BE8"/>
    <w:rsid w:val="00725D34"/>
    <w:rsid w:val="00770B58"/>
    <w:rsid w:val="007737C4"/>
    <w:rsid w:val="007EE06C"/>
    <w:rsid w:val="007F1355"/>
    <w:rsid w:val="0082303B"/>
    <w:rsid w:val="00860AA5"/>
    <w:rsid w:val="00862E91"/>
    <w:rsid w:val="00863E44"/>
    <w:rsid w:val="008A4FDE"/>
    <w:rsid w:val="00911C5F"/>
    <w:rsid w:val="00927871"/>
    <w:rsid w:val="009D267F"/>
    <w:rsid w:val="00A31296"/>
    <w:rsid w:val="00AB1BCB"/>
    <w:rsid w:val="00AF67C9"/>
    <w:rsid w:val="00B40777"/>
    <w:rsid w:val="00BC4D8F"/>
    <w:rsid w:val="00C136FC"/>
    <w:rsid w:val="00C20C0E"/>
    <w:rsid w:val="00C47E2A"/>
    <w:rsid w:val="00CC425F"/>
    <w:rsid w:val="00CF0D81"/>
    <w:rsid w:val="00D0382C"/>
    <w:rsid w:val="00D25ECD"/>
    <w:rsid w:val="00D567AA"/>
    <w:rsid w:val="00DB12B8"/>
    <w:rsid w:val="00DB16DA"/>
    <w:rsid w:val="00EF1B5F"/>
    <w:rsid w:val="00F31EE5"/>
    <w:rsid w:val="00F52848"/>
    <w:rsid w:val="00F53646"/>
    <w:rsid w:val="00F673DC"/>
    <w:rsid w:val="00F75DB9"/>
    <w:rsid w:val="00F9011D"/>
    <w:rsid w:val="00FD584C"/>
    <w:rsid w:val="0147D5E5"/>
    <w:rsid w:val="0CE9DB6C"/>
    <w:rsid w:val="1585EB8F"/>
    <w:rsid w:val="173AED46"/>
    <w:rsid w:val="2149E81D"/>
    <w:rsid w:val="2290ED20"/>
    <w:rsid w:val="2F5D0A7B"/>
    <w:rsid w:val="34C24C4B"/>
    <w:rsid w:val="47543573"/>
    <w:rsid w:val="4CEB6F80"/>
    <w:rsid w:val="4FFCC372"/>
    <w:rsid w:val="542D5E14"/>
    <w:rsid w:val="5569D96F"/>
    <w:rsid w:val="56D6A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00EC9"/>
  <w15:chartTrackingRefBased/>
  <w15:docId w15:val="{4CA96E2A-D9DB-4278-95FA-4B220C40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BCB"/>
    <w:pPr>
      <w:ind w:left="720"/>
      <w:contextualSpacing/>
    </w:pPr>
  </w:style>
  <w:style w:type="character" w:styleId="Hyperlink">
    <w:name w:val="Hyperlink"/>
    <w:basedOn w:val="DefaultParagraphFont"/>
    <w:uiPriority w:val="99"/>
    <w:unhideWhenUsed/>
    <w:rsid w:val="00EF1B5F"/>
    <w:rPr>
      <w:color w:val="0000FF"/>
      <w:u w:val="single"/>
    </w:rPr>
  </w:style>
  <w:style w:type="character" w:styleId="FollowedHyperlink">
    <w:name w:val="FollowedHyperlink"/>
    <w:basedOn w:val="DefaultParagraphFont"/>
    <w:uiPriority w:val="99"/>
    <w:semiHidden/>
    <w:unhideWhenUsed/>
    <w:rsid w:val="00F75DB9"/>
    <w:rPr>
      <w:color w:val="954F72" w:themeColor="followedHyperlink"/>
      <w:u w:val="single"/>
    </w:rPr>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character" w:styleId="UnresolvedMention">
    <w:name w:val="Unresolved Mention"/>
    <w:basedOn w:val="DefaultParagraphFont"/>
    <w:uiPriority w:val="99"/>
    <w:semiHidden/>
    <w:unhideWhenUsed/>
    <w:rsid w:val="0072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54497">
      <w:bodyDiv w:val="1"/>
      <w:marLeft w:val="0"/>
      <w:marRight w:val="0"/>
      <w:marTop w:val="0"/>
      <w:marBottom w:val="0"/>
      <w:divBdr>
        <w:top w:val="none" w:sz="0" w:space="0" w:color="auto"/>
        <w:left w:val="none" w:sz="0" w:space="0" w:color="auto"/>
        <w:bottom w:val="none" w:sz="0" w:space="0" w:color="auto"/>
        <w:right w:val="none" w:sz="0" w:space="0" w:color="auto"/>
      </w:divBdr>
    </w:div>
    <w:div w:id="17814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edu.au/study-at-vu/apply-to-vu/apply-for-graduate-research" TargetMode="External"/><Relationship Id="rId3" Type="http://schemas.openxmlformats.org/officeDocument/2006/relationships/settings" Target="settings.xml"/><Relationship Id="rId7" Type="http://schemas.openxmlformats.org/officeDocument/2006/relationships/hyperlink" Target="mailto:Fiona.Macdonald@v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Gaff</dc:creator>
  <cp:keywords/>
  <dc:description/>
  <cp:lastModifiedBy>Fiona Macdonald</cp:lastModifiedBy>
  <cp:revision>2</cp:revision>
  <dcterms:created xsi:type="dcterms:W3CDTF">2025-03-25T02:12:00Z</dcterms:created>
  <dcterms:modified xsi:type="dcterms:W3CDTF">2025-03-25T02:12:00Z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2023-08-23T00:57:27Z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08f3a529-3ccd-4779-9607-6e470b755fbf</vt:lpwstr>
  </property>
  <property fmtid="{D5CDD505-2E9C-101B-9397-08002B2CF9AE}" pid="8" name="MSIP_Label_d7dc88d9-fa17-47eb-a208-3e66f59d50e5_ContentBits">
    <vt:lpwstr>0</vt:lpwstr>
  </property>
</Properties>
</file>